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7A15" w14:textId="4199B6E9" w:rsidR="00902B7D" w:rsidRDefault="00902B7D" w:rsidP="00902B7D">
      <w:pPr>
        <w:spacing w:after="0"/>
        <w:jc w:val="center"/>
        <w:rPr>
          <w:b/>
        </w:rPr>
      </w:pPr>
      <w:r w:rsidRPr="00902B7D">
        <w:rPr>
          <w:b/>
          <w:noProof/>
          <w:lang w:eastAsia="it-IT"/>
        </w:rPr>
        <w:drawing>
          <wp:inline distT="0" distB="0" distL="0" distR="0" wp14:anchorId="410AF0CC" wp14:editId="11A4B324">
            <wp:extent cx="3726683" cy="112395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8694" cy="11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E62CD" w14:textId="77777777" w:rsidR="00902B7D" w:rsidRDefault="00902B7D" w:rsidP="005D165C">
      <w:pPr>
        <w:spacing w:after="0"/>
        <w:rPr>
          <w:b/>
        </w:rPr>
      </w:pPr>
    </w:p>
    <w:p w14:paraId="274E14EE" w14:textId="5E7BCECF" w:rsidR="00902B7D" w:rsidRPr="00BD3E01" w:rsidRDefault="00902B7D" w:rsidP="000F4307">
      <w:pPr>
        <w:pStyle w:val="NormaleWeb"/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D3E0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Informativa sul trattamento dei dati personali ai sensi dell’art. 13 del </w:t>
      </w:r>
      <w:r w:rsidR="000F4307" w:rsidRPr="00BD3E0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REG. (UE) 679/2016 – Gestione telematica dei procedimenti amministrativi ed autorizzativi tramite lo Sportello Unico Amministrativo </w:t>
      </w:r>
    </w:p>
    <w:p w14:paraId="0A2A1D98" w14:textId="3911C37B" w:rsidR="00843E24" w:rsidRPr="00BD3E01" w:rsidRDefault="00843E24" w:rsidP="005D165C">
      <w:pPr>
        <w:spacing w:after="0"/>
        <w:rPr>
          <w:b/>
          <w:color w:val="000000" w:themeColor="text1"/>
        </w:rPr>
      </w:pPr>
    </w:p>
    <w:p w14:paraId="335442A6" w14:textId="4048E181" w:rsidR="009E3D2E" w:rsidRDefault="00127D1F" w:rsidP="00DD0904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>Ai fini previsti dal Regolamento (UE) n.2016/679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relativo alla protezione delle persone fisiche con riguardo al trattamento dei dati personali,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nonché, in ottemperanza al decreto legislativo n. 101 del 10 Agosto 2018 recante “Disposizioni per l'adeguamento della normativa nazionale alle disposizioni del GDPR”,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l' Autorità di Sistema Portuale del Mar Ionio</w:t>
      </w:r>
      <w:r w:rsidR="007D1FF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in qualità di</w:t>
      </w:r>
      <w:r w:rsidR="00DC546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D1FFE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itolar</w:t>
      </w:r>
      <w:r w:rsidR="00DC5464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de</w:t>
      </w:r>
      <w:r w:rsidR="007D1FFE">
        <w:rPr>
          <w:rFonts w:ascii="Calibri" w:hAnsi="Calibri" w:cs="Calibri"/>
          <w:color w:val="000000" w:themeColor="text1"/>
          <w:sz w:val="24"/>
          <w:szCs w:val="24"/>
        </w:rPr>
        <w:t>i trattamenti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relativ</w:t>
      </w:r>
      <w:r w:rsidR="007D1FFE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alla gestione telematica dei procedimenti amministrativi ed autorizzativi </w:t>
      </w:r>
      <w:r w:rsidR="00CF77F2">
        <w:rPr>
          <w:rFonts w:ascii="Calibri" w:hAnsi="Calibri" w:cs="Calibri"/>
          <w:color w:val="000000" w:themeColor="text1"/>
          <w:sz w:val="24"/>
          <w:szCs w:val="24"/>
        </w:rPr>
        <w:t xml:space="preserve">avviati mediante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lo Sportello Unico Amministrativo, rende </w:t>
      </w:r>
      <w:r w:rsidR="00C47AA7">
        <w:rPr>
          <w:rFonts w:ascii="Calibri" w:hAnsi="Calibri" w:cs="Calibri"/>
          <w:color w:val="000000" w:themeColor="text1"/>
          <w:sz w:val="24"/>
          <w:szCs w:val="24"/>
        </w:rPr>
        <w:t xml:space="preserve">all’utenza delle procedure </w:t>
      </w:r>
      <w:r w:rsidR="00DB0214">
        <w:rPr>
          <w:rFonts w:ascii="Calibri" w:hAnsi="Calibri" w:cs="Calibri"/>
          <w:color w:val="000000" w:themeColor="text1"/>
          <w:sz w:val="24"/>
          <w:szCs w:val="24"/>
        </w:rPr>
        <w:t xml:space="preserve">di seguito indicate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la seguente informativa privacy.</w:t>
      </w:r>
    </w:p>
    <w:p w14:paraId="5CA70867" w14:textId="24B27A8A" w:rsidR="00BF0956" w:rsidRDefault="00BF0956" w:rsidP="00BF0956">
      <w:pPr>
        <w:spacing w:after="0" w:line="360" w:lineRule="auto"/>
        <w:rPr>
          <w:b/>
        </w:rPr>
      </w:pPr>
      <w:r w:rsidRPr="005D165C">
        <w:rPr>
          <w:b/>
        </w:rPr>
        <w:t>Titolar</w:t>
      </w:r>
      <w:r w:rsidR="00B548DD">
        <w:rPr>
          <w:b/>
        </w:rPr>
        <w:t>i</w:t>
      </w:r>
      <w:r w:rsidRPr="005D165C">
        <w:rPr>
          <w:b/>
        </w:rPr>
        <w:t xml:space="preserve"> del trattamento</w:t>
      </w:r>
      <w:r>
        <w:rPr>
          <w:b/>
        </w:rPr>
        <w:t>.</w:t>
      </w:r>
    </w:p>
    <w:p w14:paraId="71418E17" w14:textId="37B7F03B" w:rsidR="005D165C" w:rsidRPr="0008066E" w:rsidRDefault="00591AFD" w:rsidP="00BF09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Relativamente </w:t>
      </w:r>
      <w:r w:rsidR="00DB021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ai servizi di digitalizzazione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ovvero i servizi che consentono la compilazione e la gestione delle procedure del SUA, </w:t>
      </w:r>
      <w:r w:rsidR="00696DD5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unitamente alla gestione dei procedimenti amministrativi ai sensi della L. 241/1990 ad essi connessi, 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</w:t>
      </w:r>
      <w:r w:rsidR="004B41E0" w:rsidRPr="0008066E">
        <w:rPr>
          <w:rFonts w:ascii="Calibri" w:hAnsi="Calibri" w:cs="Calibri"/>
          <w:color w:val="000000" w:themeColor="text1"/>
          <w:sz w:val="24"/>
          <w:szCs w:val="24"/>
        </w:rPr>
        <w:t>l Titolare del trattamento è l’Autorità di Sistema Portuale del Mar Ionio. L’Autorità ai sensi</w:t>
      </w:r>
      <w:r w:rsidR="003D1F28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B41E0" w:rsidRPr="0008066E">
        <w:rPr>
          <w:rFonts w:ascii="Calibri" w:hAnsi="Calibri" w:cs="Calibri"/>
          <w:color w:val="000000" w:themeColor="text1"/>
          <w:sz w:val="24"/>
          <w:szCs w:val="24"/>
        </w:rPr>
        <w:t>dell’art. 37 del GDPR ha nominato un Responsabile della Protezione dei dati Personali contattabile</w:t>
      </w:r>
      <w:r w:rsidR="003D1F28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B41E0" w:rsidRPr="0008066E">
        <w:rPr>
          <w:rFonts w:ascii="Calibri" w:hAnsi="Calibri" w:cs="Calibri"/>
          <w:color w:val="000000" w:themeColor="text1"/>
          <w:sz w:val="24"/>
          <w:szCs w:val="24"/>
        </w:rPr>
        <w:t>alla mail:</w:t>
      </w:r>
      <w:r w:rsidR="003D1F28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hyperlink r:id="rId6" w:history="1">
        <w:r w:rsidR="002D03ED" w:rsidRPr="0008066E">
          <w:rPr>
            <w:rStyle w:val="Collegamentoipertestuale"/>
            <w:rFonts w:ascii="Calibri" w:hAnsi="Calibri" w:cs="Calibri"/>
            <w:color w:val="000000" w:themeColor="text1"/>
            <w:sz w:val="24"/>
            <w:szCs w:val="24"/>
          </w:rPr>
          <w:t>dpo@port.taranto.it</w:t>
        </w:r>
      </w:hyperlink>
    </w:p>
    <w:p w14:paraId="6F94F8B9" w14:textId="77777777" w:rsidR="00BF0956" w:rsidRDefault="00BF0956" w:rsidP="00DD0904">
      <w:pPr>
        <w:spacing w:after="0" w:line="360" w:lineRule="auto"/>
        <w:jc w:val="both"/>
        <w:rPr>
          <w:b/>
        </w:rPr>
      </w:pPr>
    </w:p>
    <w:p w14:paraId="19920908" w14:textId="58B20FD9" w:rsidR="009E3D2E" w:rsidRDefault="00BF0956" w:rsidP="00DD0904">
      <w:pPr>
        <w:spacing w:after="0" w:line="360" w:lineRule="auto"/>
        <w:jc w:val="both"/>
        <w:rPr>
          <w:b/>
        </w:rPr>
      </w:pPr>
      <w:r>
        <w:rPr>
          <w:b/>
        </w:rPr>
        <w:t>Finalità</w:t>
      </w:r>
      <w:r w:rsidRPr="005D165C">
        <w:rPr>
          <w:b/>
        </w:rPr>
        <w:t xml:space="preserve"> del trattamento.</w:t>
      </w:r>
    </w:p>
    <w:p w14:paraId="5820843E" w14:textId="02F4E85A" w:rsidR="00DA1FE3" w:rsidRDefault="003D1F28" w:rsidP="00DD090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I dati personali forniti dagli operatori economici </w:t>
      </w:r>
      <w:r w:rsidR="00A37C87">
        <w:rPr>
          <w:rFonts w:ascii="Calibri" w:hAnsi="Calibri" w:cs="Calibri"/>
          <w:color w:val="000000" w:themeColor="text1"/>
          <w:sz w:val="24"/>
          <w:szCs w:val="24"/>
        </w:rPr>
        <w:t xml:space="preserve">e dagli utenti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saranno raccolti e trattati dall’Amministrazione esclusivamente per dar seguito alle procedure amministrative</w:t>
      </w:r>
      <w:r w:rsidR="009E3D2E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a</w:t>
      </w:r>
      <w:r w:rsidR="00E458D8" w:rsidRPr="0008066E">
        <w:rPr>
          <w:rFonts w:ascii="Calibri" w:hAnsi="Calibri" w:cs="Calibri"/>
          <w:color w:val="000000" w:themeColor="text1"/>
          <w:sz w:val="24"/>
          <w:szCs w:val="24"/>
        </w:rPr>
        <w:t>vviate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su istanza dei soggetti interessati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nell’ambito delle quali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le dichiarazioni contenenti dati personali vengono rese.</w:t>
      </w:r>
      <w:r w:rsidR="00E458D8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D03ED" w:rsidRPr="0008066E">
        <w:rPr>
          <w:rFonts w:ascii="Calibri" w:hAnsi="Calibri" w:cs="Calibri"/>
          <w:color w:val="000000" w:themeColor="text1"/>
          <w:sz w:val="24"/>
          <w:szCs w:val="24"/>
        </w:rPr>
        <w:t>In particolare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2D03ED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tramite il SUA dell’A.d.S.P.M.I. saranno trattati i dati 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necessari per </w:t>
      </w:r>
      <w:r w:rsidR="000954DD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le </w:t>
      </w:r>
      <w:r w:rsidR="002D03ED" w:rsidRPr="0008066E">
        <w:rPr>
          <w:rFonts w:ascii="Calibri" w:hAnsi="Calibri" w:cs="Calibri"/>
          <w:color w:val="000000" w:themeColor="text1"/>
          <w:sz w:val="24"/>
          <w:szCs w:val="24"/>
        </w:rPr>
        <w:t>seguenti procedure</w:t>
      </w:r>
      <w:r w:rsidR="00A8256F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amministrative</w:t>
      </w:r>
      <w:r w:rsidR="00E76A18" w:rsidRPr="00140A8C">
        <w:rPr>
          <w:rFonts w:ascii="Calibri" w:hAnsi="Calibri" w:cs="Calibri"/>
          <w:color w:val="000000" w:themeColor="text1"/>
          <w:sz w:val="24"/>
          <w:szCs w:val="24"/>
        </w:rPr>
        <w:t>, nonché, per eventuali nuove se richieste dal Titolare del Trattamento:</w:t>
      </w:r>
    </w:p>
    <w:p w14:paraId="64A6F39B" w14:textId="394BF7F1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Rilascio concessioni delle aree e banchine portuali (L.</w:t>
      </w:r>
      <w:r w:rsidR="00914799">
        <w:rPr>
          <w:rFonts w:cstheme="minorHAnsi"/>
          <w:sz w:val="24"/>
          <w:szCs w:val="24"/>
        </w:rPr>
        <w:t xml:space="preserve"> </w:t>
      </w:r>
      <w:r w:rsidRPr="00DC5464">
        <w:rPr>
          <w:rFonts w:cstheme="minorHAnsi"/>
          <w:sz w:val="24"/>
          <w:szCs w:val="24"/>
        </w:rPr>
        <w:t>84/94 Art. 18)</w:t>
      </w:r>
      <w:r w:rsidR="005C377E" w:rsidRPr="00DC5464">
        <w:rPr>
          <w:rFonts w:cstheme="minorHAnsi"/>
          <w:sz w:val="24"/>
          <w:szCs w:val="24"/>
        </w:rPr>
        <w:t>;</w:t>
      </w:r>
    </w:p>
    <w:p w14:paraId="73DC7E70" w14:textId="68D7C921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Rinnovo concessioni delle aree e banchine portuali (L.</w:t>
      </w:r>
      <w:r w:rsidR="00914799">
        <w:rPr>
          <w:rFonts w:cstheme="minorHAnsi"/>
          <w:sz w:val="24"/>
          <w:szCs w:val="24"/>
        </w:rPr>
        <w:t xml:space="preserve"> </w:t>
      </w:r>
      <w:r w:rsidRPr="00DC5464">
        <w:rPr>
          <w:rFonts w:cstheme="minorHAnsi"/>
          <w:sz w:val="24"/>
          <w:szCs w:val="24"/>
        </w:rPr>
        <w:t>84/94 Art. 18)</w:t>
      </w:r>
      <w:r w:rsidR="005C377E" w:rsidRPr="00DC5464">
        <w:rPr>
          <w:rFonts w:cstheme="minorHAnsi"/>
          <w:sz w:val="24"/>
          <w:szCs w:val="24"/>
        </w:rPr>
        <w:t>;</w:t>
      </w:r>
    </w:p>
    <w:p w14:paraId="6CEB7590" w14:textId="078C5458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Rilascio concessioni di beni demaniali (Codice della </w:t>
      </w:r>
      <w:r w:rsidR="00914799">
        <w:rPr>
          <w:rFonts w:cstheme="minorHAnsi"/>
          <w:sz w:val="24"/>
          <w:szCs w:val="24"/>
        </w:rPr>
        <w:t>n</w:t>
      </w:r>
      <w:r w:rsidRPr="00DC5464">
        <w:rPr>
          <w:rFonts w:cstheme="minorHAnsi"/>
          <w:sz w:val="24"/>
          <w:szCs w:val="24"/>
        </w:rPr>
        <w:t>avigazione</w:t>
      </w:r>
      <w:r w:rsidR="00914799">
        <w:rPr>
          <w:rFonts w:cstheme="minorHAnsi"/>
          <w:sz w:val="24"/>
          <w:szCs w:val="24"/>
        </w:rPr>
        <w:t>,</w:t>
      </w:r>
      <w:r w:rsidRPr="00DC5464">
        <w:rPr>
          <w:rFonts w:cstheme="minorHAnsi"/>
          <w:sz w:val="24"/>
          <w:szCs w:val="24"/>
        </w:rPr>
        <w:t xml:space="preserve"> Art. 36);</w:t>
      </w:r>
    </w:p>
    <w:p w14:paraId="2009FE4A" w14:textId="143670A6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Rinnovo concessioni di beni demaniali (Codice della </w:t>
      </w:r>
      <w:r w:rsidR="00914799">
        <w:rPr>
          <w:rFonts w:cstheme="minorHAnsi"/>
          <w:sz w:val="24"/>
          <w:szCs w:val="24"/>
        </w:rPr>
        <w:t>n</w:t>
      </w:r>
      <w:r w:rsidRPr="00DC5464">
        <w:rPr>
          <w:rFonts w:cstheme="minorHAnsi"/>
          <w:sz w:val="24"/>
          <w:szCs w:val="24"/>
        </w:rPr>
        <w:t>avigazione</w:t>
      </w:r>
      <w:r w:rsidR="00914799">
        <w:rPr>
          <w:rFonts w:cstheme="minorHAnsi"/>
          <w:sz w:val="24"/>
          <w:szCs w:val="24"/>
        </w:rPr>
        <w:t>,</w:t>
      </w:r>
      <w:r w:rsidRPr="00DC5464">
        <w:rPr>
          <w:rFonts w:cstheme="minorHAnsi"/>
          <w:sz w:val="24"/>
          <w:szCs w:val="24"/>
        </w:rPr>
        <w:t xml:space="preserve"> Art. 36);</w:t>
      </w:r>
    </w:p>
    <w:p w14:paraId="3A6D22CB" w14:textId="051BBD36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Variazioni al contenuto della concessione (Reg</w:t>
      </w:r>
      <w:r w:rsidR="00914799">
        <w:rPr>
          <w:rFonts w:cstheme="minorHAnsi"/>
          <w:sz w:val="24"/>
          <w:szCs w:val="24"/>
        </w:rPr>
        <w:t>.</w:t>
      </w:r>
      <w:r w:rsidRPr="00DC5464">
        <w:rPr>
          <w:rFonts w:cstheme="minorHAnsi"/>
          <w:sz w:val="24"/>
          <w:szCs w:val="24"/>
        </w:rPr>
        <w:t xml:space="preserve"> </w:t>
      </w:r>
      <w:r w:rsidR="009D7B00" w:rsidRPr="00DC5464">
        <w:rPr>
          <w:rFonts w:cstheme="minorHAnsi"/>
          <w:sz w:val="24"/>
          <w:szCs w:val="24"/>
        </w:rPr>
        <w:t>C</w:t>
      </w:r>
      <w:r w:rsidRPr="00DC5464">
        <w:rPr>
          <w:rFonts w:cstheme="minorHAnsi"/>
          <w:sz w:val="24"/>
          <w:szCs w:val="24"/>
        </w:rPr>
        <w:t>od</w:t>
      </w:r>
      <w:r w:rsidR="00914799">
        <w:rPr>
          <w:rFonts w:cstheme="minorHAnsi"/>
          <w:sz w:val="24"/>
          <w:szCs w:val="24"/>
        </w:rPr>
        <w:t>ice della n</w:t>
      </w:r>
      <w:r w:rsidRPr="00DC5464">
        <w:rPr>
          <w:rFonts w:cstheme="minorHAnsi"/>
          <w:sz w:val="24"/>
          <w:szCs w:val="24"/>
        </w:rPr>
        <w:t>av</w:t>
      </w:r>
      <w:r w:rsidR="009D7B00" w:rsidRPr="00DC5464">
        <w:rPr>
          <w:rFonts w:cstheme="minorHAnsi"/>
          <w:sz w:val="24"/>
          <w:szCs w:val="24"/>
        </w:rPr>
        <w:t>igazione</w:t>
      </w:r>
      <w:r w:rsidR="00914799">
        <w:rPr>
          <w:rFonts w:cstheme="minorHAnsi"/>
          <w:sz w:val="24"/>
          <w:szCs w:val="24"/>
        </w:rPr>
        <w:t>,</w:t>
      </w:r>
      <w:r w:rsidRPr="00DC5464">
        <w:rPr>
          <w:rFonts w:cstheme="minorHAnsi"/>
          <w:sz w:val="24"/>
          <w:szCs w:val="24"/>
        </w:rPr>
        <w:t xml:space="preserve"> Art. 24);</w:t>
      </w:r>
    </w:p>
    <w:p w14:paraId="07DC8B49" w14:textId="57396F84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Subingresso alla concessione (Codice della </w:t>
      </w:r>
      <w:r w:rsidR="00914799">
        <w:rPr>
          <w:rFonts w:cstheme="minorHAnsi"/>
          <w:sz w:val="24"/>
          <w:szCs w:val="24"/>
        </w:rPr>
        <w:t>n</w:t>
      </w:r>
      <w:r w:rsidRPr="00DC5464">
        <w:rPr>
          <w:rFonts w:cstheme="minorHAnsi"/>
          <w:sz w:val="24"/>
          <w:szCs w:val="24"/>
        </w:rPr>
        <w:t>avigazione</w:t>
      </w:r>
      <w:r w:rsidR="00914799">
        <w:rPr>
          <w:rFonts w:cstheme="minorHAnsi"/>
          <w:sz w:val="24"/>
          <w:szCs w:val="24"/>
        </w:rPr>
        <w:t>,</w:t>
      </w:r>
      <w:r w:rsidRPr="00DC5464">
        <w:rPr>
          <w:rFonts w:cstheme="minorHAnsi"/>
          <w:sz w:val="24"/>
          <w:szCs w:val="24"/>
        </w:rPr>
        <w:t xml:space="preserve"> Art. 46);</w:t>
      </w:r>
    </w:p>
    <w:p w14:paraId="32D81236" w14:textId="517809C5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Anticipata occupazione (Codice della </w:t>
      </w:r>
      <w:r w:rsidR="00914799">
        <w:rPr>
          <w:rFonts w:cstheme="minorHAnsi"/>
          <w:sz w:val="24"/>
          <w:szCs w:val="24"/>
        </w:rPr>
        <w:t>n</w:t>
      </w:r>
      <w:r w:rsidRPr="00DC5464">
        <w:rPr>
          <w:rFonts w:cstheme="minorHAnsi"/>
          <w:sz w:val="24"/>
          <w:szCs w:val="24"/>
        </w:rPr>
        <w:t>avigazione</w:t>
      </w:r>
      <w:r w:rsidR="00914799">
        <w:rPr>
          <w:rFonts w:cstheme="minorHAnsi"/>
          <w:sz w:val="24"/>
          <w:szCs w:val="24"/>
        </w:rPr>
        <w:t>,</w:t>
      </w:r>
      <w:r w:rsidRPr="00DC5464">
        <w:rPr>
          <w:rFonts w:cstheme="minorHAnsi"/>
          <w:sz w:val="24"/>
          <w:szCs w:val="24"/>
        </w:rPr>
        <w:t xml:space="preserve"> Art. 38);</w:t>
      </w:r>
    </w:p>
    <w:p w14:paraId="6D02A294" w14:textId="2D8C64C0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lastRenderedPageBreak/>
        <w:t>Affidamento ad altri soggetti delle attività della concessione (Cod</w:t>
      </w:r>
      <w:r w:rsidR="00914799">
        <w:rPr>
          <w:rFonts w:cstheme="minorHAnsi"/>
          <w:sz w:val="24"/>
          <w:szCs w:val="24"/>
        </w:rPr>
        <w:t>ice</w:t>
      </w:r>
      <w:r w:rsidRPr="00DC5464">
        <w:rPr>
          <w:rFonts w:cstheme="minorHAnsi"/>
          <w:sz w:val="24"/>
          <w:szCs w:val="24"/>
        </w:rPr>
        <w:t xml:space="preserve"> della </w:t>
      </w:r>
      <w:r w:rsidR="00914799">
        <w:rPr>
          <w:rFonts w:cstheme="minorHAnsi"/>
          <w:sz w:val="24"/>
          <w:szCs w:val="24"/>
        </w:rPr>
        <w:t>n</w:t>
      </w:r>
      <w:r w:rsidRPr="00DC5464">
        <w:rPr>
          <w:rFonts w:cstheme="minorHAnsi"/>
          <w:sz w:val="24"/>
          <w:szCs w:val="24"/>
        </w:rPr>
        <w:t>avigazione</w:t>
      </w:r>
      <w:r w:rsidR="00914799">
        <w:rPr>
          <w:rFonts w:cstheme="minorHAnsi"/>
          <w:sz w:val="24"/>
          <w:szCs w:val="24"/>
        </w:rPr>
        <w:t>,</w:t>
      </w:r>
      <w:r w:rsidRPr="00DC5464">
        <w:rPr>
          <w:rFonts w:cstheme="minorHAnsi"/>
          <w:sz w:val="24"/>
          <w:szCs w:val="24"/>
        </w:rPr>
        <w:t xml:space="preserve"> Art. 45 bis);</w:t>
      </w:r>
    </w:p>
    <w:p w14:paraId="57FF1409" w14:textId="5FE53477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Affidamento ad altre imprese portuali, autorizzate ai sensi dell'articolo 16 L. 84/94, dell'esercizio di alcune attività comprese nel ciclo operativo (L. 84/94 Art. 18, co. </w:t>
      </w:r>
      <w:r w:rsidR="00914799">
        <w:rPr>
          <w:rFonts w:cstheme="minorHAnsi"/>
          <w:sz w:val="24"/>
          <w:szCs w:val="24"/>
        </w:rPr>
        <w:t>9</w:t>
      </w:r>
      <w:r w:rsidRPr="00DC5464">
        <w:rPr>
          <w:rFonts w:cstheme="minorHAnsi"/>
          <w:sz w:val="24"/>
          <w:szCs w:val="24"/>
        </w:rPr>
        <w:t>);</w:t>
      </w:r>
    </w:p>
    <w:p w14:paraId="61406E8C" w14:textId="7E01D6BD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Autorizzazione di nuove opere in prossimità del demanio marittimo (Cod</w:t>
      </w:r>
      <w:r w:rsidR="00914799">
        <w:rPr>
          <w:rFonts w:cstheme="minorHAnsi"/>
          <w:sz w:val="24"/>
          <w:szCs w:val="24"/>
        </w:rPr>
        <w:t>ice della</w:t>
      </w:r>
      <w:r w:rsidR="005C377E" w:rsidRPr="00DC5464">
        <w:rPr>
          <w:rFonts w:cstheme="minorHAnsi"/>
          <w:sz w:val="24"/>
          <w:szCs w:val="24"/>
        </w:rPr>
        <w:t xml:space="preserve"> </w:t>
      </w:r>
      <w:r w:rsidR="00914799">
        <w:rPr>
          <w:rFonts w:cstheme="minorHAnsi"/>
          <w:sz w:val="24"/>
          <w:szCs w:val="24"/>
        </w:rPr>
        <w:t>n</w:t>
      </w:r>
      <w:r w:rsidRPr="00DC5464">
        <w:rPr>
          <w:rFonts w:cstheme="minorHAnsi"/>
          <w:sz w:val="24"/>
          <w:szCs w:val="24"/>
        </w:rPr>
        <w:t>avigaz</w:t>
      </w:r>
      <w:r w:rsidR="00914799">
        <w:rPr>
          <w:rFonts w:cstheme="minorHAnsi"/>
          <w:sz w:val="24"/>
          <w:szCs w:val="24"/>
        </w:rPr>
        <w:t>ione,</w:t>
      </w:r>
      <w:r w:rsidRPr="00DC5464">
        <w:rPr>
          <w:rFonts w:cstheme="minorHAnsi"/>
          <w:sz w:val="24"/>
          <w:szCs w:val="24"/>
        </w:rPr>
        <w:t xml:space="preserve"> Art. 55);</w:t>
      </w:r>
    </w:p>
    <w:p w14:paraId="7D50E8B1" w14:textId="0EF7099B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Comunicazione per interventi di manutenzione ordinaria (Regolamento </w:t>
      </w:r>
      <w:r w:rsidR="00914799">
        <w:rPr>
          <w:rFonts w:cstheme="minorHAnsi"/>
          <w:sz w:val="24"/>
          <w:szCs w:val="24"/>
        </w:rPr>
        <w:t>D</w:t>
      </w:r>
      <w:r w:rsidRPr="00DC5464">
        <w:rPr>
          <w:rFonts w:cstheme="minorHAnsi"/>
          <w:sz w:val="24"/>
          <w:szCs w:val="24"/>
        </w:rPr>
        <w:t xml:space="preserve">emanio </w:t>
      </w:r>
      <w:r w:rsidR="00914799">
        <w:rPr>
          <w:rFonts w:cstheme="minorHAnsi"/>
          <w:sz w:val="24"/>
          <w:szCs w:val="24"/>
        </w:rPr>
        <w:t>M</w:t>
      </w:r>
      <w:r w:rsidRPr="00DC5464">
        <w:rPr>
          <w:rFonts w:cstheme="minorHAnsi"/>
          <w:sz w:val="24"/>
          <w:szCs w:val="24"/>
        </w:rPr>
        <w:t xml:space="preserve">arittimo, </w:t>
      </w:r>
      <w:r w:rsidR="00914799">
        <w:rPr>
          <w:rFonts w:cstheme="minorHAnsi"/>
          <w:sz w:val="24"/>
          <w:szCs w:val="24"/>
        </w:rPr>
        <w:t>A</w:t>
      </w:r>
      <w:r w:rsidRPr="00DC5464">
        <w:rPr>
          <w:rFonts w:cstheme="minorHAnsi"/>
          <w:sz w:val="24"/>
          <w:szCs w:val="24"/>
        </w:rPr>
        <w:t>rt. 28);</w:t>
      </w:r>
    </w:p>
    <w:p w14:paraId="0E9577F5" w14:textId="25B072CE" w:rsidR="00DA1FE3" w:rsidRPr="00DC5464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Autorizzazione per interventi di manutenzione straordinaria (Regolamento </w:t>
      </w:r>
      <w:r w:rsidR="00914799">
        <w:rPr>
          <w:rFonts w:cstheme="minorHAnsi"/>
          <w:sz w:val="24"/>
          <w:szCs w:val="24"/>
        </w:rPr>
        <w:t>D</w:t>
      </w:r>
      <w:r w:rsidR="00914799" w:rsidRPr="00DC5464">
        <w:rPr>
          <w:rFonts w:cstheme="minorHAnsi"/>
          <w:sz w:val="24"/>
          <w:szCs w:val="24"/>
        </w:rPr>
        <w:t xml:space="preserve">emanio </w:t>
      </w:r>
      <w:r w:rsidR="00914799">
        <w:rPr>
          <w:rFonts w:cstheme="minorHAnsi"/>
          <w:sz w:val="24"/>
          <w:szCs w:val="24"/>
        </w:rPr>
        <w:t>M</w:t>
      </w:r>
      <w:r w:rsidR="00914799" w:rsidRPr="00DC5464">
        <w:rPr>
          <w:rFonts w:cstheme="minorHAnsi"/>
          <w:sz w:val="24"/>
          <w:szCs w:val="24"/>
        </w:rPr>
        <w:t>arittimo</w:t>
      </w:r>
      <w:r w:rsidRPr="00DC5464">
        <w:rPr>
          <w:rFonts w:cstheme="minorHAnsi"/>
          <w:sz w:val="24"/>
          <w:szCs w:val="24"/>
        </w:rPr>
        <w:t xml:space="preserve">, </w:t>
      </w:r>
      <w:r w:rsidR="00914799">
        <w:rPr>
          <w:rFonts w:cstheme="minorHAnsi"/>
          <w:sz w:val="24"/>
          <w:szCs w:val="24"/>
        </w:rPr>
        <w:t>A</w:t>
      </w:r>
      <w:r w:rsidRPr="00DC5464">
        <w:rPr>
          <w:rFonts w:cstheme="minorHAnsi"/>
          <w:sz w:val="24"/>
          <w:szCs w:val="24"/>
        </w:rPr>
        <w:t>rt. 28);</w:t>
      </w:r>
    </w:p>
    <w:p w14:paraId="20B8A123" w14:textId="22AD6641" w:rsidR="004E7516" w:rsidRDefault="00DA1FE3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Rinuncia alla concessione (Regolamento </w:t>
      </w:r>
      <w:r w:rsidR="00914799">
        <w:rPr>
          <w:rFonts w:cstheme="minorHAnsi"/>
          <w:sz w:val="24"/>
          <w:szCs w:val="24"/>
        </w:rPr>
        <w:t>D</w:t>
      </w:r>
      <w:r w:rsidR="00914799" w:rsidRPr="00DC5464">
        <w:rPr>
          <w:rFonts w:cstheme="minorHAnsi"/>
          <w:sz w:val="24"/>
          <w:szCs w:val="24"/>
        </w:rPr>
        <w:t xml:space="preserve">emanio </w:t>
      </w:r>
      <w:r w:rsidR="00914799">
        <w:rPr>
          <w:rFonts w:cstheme="minorHAnsi"/>
          <w:sz w:val="24"/>
          <w:szCs w:val="24"/>
        </w:rPr>
        <w:t>M</w:t>
      </w:r>
      <w:r w:rsidR="00914799" w:rsidRPr="00DC5464">
        <w:rPr>
          <w:rFonts w:cstheme="minorHAnsi"/>
          <w:sz w:val="24"/>
          <w:szCs w:val="24"/>
        </w:rPr>
        <w:t>arittimo</w:t>
      </w:r>
      <w:r w:rsidRPr="00DC5464">
        <w:rPr>
          <w:rFonts w:cstheme="minorHAnsi"/>
          <w:sz w:val="24"/>
          <w:szCs w:val="24"/>
        </w:rPr>
        <w:t xml:space="preserve">, </w:t>
      </w:r>
      <w:r w:rsidR="00914799">
        <w:rPr>
          <w:rFonts w:cstheme="minorHAnsi"/>
          <w:sz w:val="24"/>
          <w:szCs w:val="24"/>
        </w:rPr>
        <w:t>A</w:t>
      </w:r>
      <w:r w:rsidRPr="00DC5464">
        <w:rPr>
          <w:rFonts w:cstheme="minorHAnsi"/>
          <w:sz w:val="24"/>
          <w:szCs w:val="24"/>
        </w:rPr>
        <w:t>rt. 15)</w:t>
      </w:r>
      <w:r w:rsidR="004E7516" w:rsidRPr="00DC5464">
        <w:rPr>
          <w:rFonts w:cstheme="minorHAnsi"/>
          <w:sz w:val="24"/>
          <w:szCs w:val="24"/>
        </w:rPr>
        <w:t>;</w:t>
      </w:r>
    </w:p>
    <w:p w14:paraId="6A2F6527" w14:textId="1CE9AD7C" w:rsidR="00140A8C" w:rsidRDefault="00140A8C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Riduzione del canone (</w:t>
      </w:r>
      <w:r w:rsidRPr="00DC5464">
        <w:rPr>
          <w:rFonts w:cstheme="minorHAnsi"/>
          <w:sz w:val="24"/>
          <w:szCs w:val="24"/>
        </w:rPr>
        <w:t xml:space="preserve">Regolamento </w:t>
      </w:r>
      <w:r>
        <w:rPr>
          <w:rFonts w:cstheme="minorHAnsi"/>
          <w:sz w:val="24"/>
          <w:szCs w:val="24"/>
        </w:rPr>
        <w:t>D</w:t>
      </w:r>
      <w:r w:rsidRPr="00DC5464">
        <w:rPr>
          <w:rFonts w:cstheme="minorHAnsi"/>
          <w:sz w:val="24"/>
          <w:szCs w:val="24"/>
        </w:rPr>
        <w:t xml:space="preserve">emanio </w:t>
      </w:r>
      <w:r>
        <w:rPr>
          <w:rFonts w:cstheme="minorHAnsi"/>
          <w:sz w:val="24"/>
          <w:szCs w:val="24"/>
        </w:rPr>
        <w:t>M</w:t>
      </w:r>
      <w:r w:rsidRPr="00DC5464">
        <w:rPr>
          <w:rFonts w:cstheme="minorHAnsi"/>
          <w:sz w:val="24"/>
          <w:szCs w:val="24"/>
        </w:rPr>
        <w:t>arittimo</w:t>
      </w:r>
      <w:r>
        <w:rPr>
          <w:rFonts w:cstheme="minorHAnsi"/>
          <w:sz w:val="24"/>
          <w:szCs w:val="24"/>
        </w:rPr>
        <w:t>; Art. 23);</w:t>
      </w:r>
    </w:p>
    <w:p w14:paraId="1FC0E369" w14:textId="457FD1B5" w:rsidR="00914799" w:rsidRPr="00DC5464" w:rsidRDefault="00914799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Occupazioni temporanee (</w:t>
      </w:r>
      <w:r w:rsidRPr="00DC5464">
        <w:rPr>
          <w:rFonts w:cstheme="minorHAnsi"/>
          <w:sz w:val="24"/>
          <w:szCs w:val="24"/>
        </w:rPr>
        <w:t xml:space="preserve">Regolamento </w:t>
      </w:r>
      <w:r>
        <w:rPr>
          <w:rFonts w:cstheme="minorHAnsi"/>
          <w:sz w:val="24"/>
          <w:szCs w:val="24"/>
        </w:rPr>
        <w:t>D</w:t>
      </w:r>
      <w:r w:rsidRPr="00DC5464">
        <w:rPr>
          <w:rFonts w:cstheme="minorHAnsi"/>
          <w:sz w:val="24"/>
          <w:szCs w:val="24"/>
        </w:rPr>
        <w:t xml:space="preserve">emanio </w:t>
      </w:r>
      <w:r>
        <w:rPr>
          <w:rFonts w:cstheme="minorHAnsi"/>
          <w:sz w:val="24"/>
          <w:szCs w:val="24"/>
        </w:rPr>
        <w:t>M</w:t>
      </w:r>
      <w:r w:rsidRPr="00DC5464">
        <w:rPr>
          <w:rFonts w:cstheme="minorHAnsi"/>
          <w:sz w:val="24"/>
          <w:szCs w:val="24"/>
        </w:rPr>
        <w:t>arittimo</w:t>
      </w:r>
      <w:r>
        <w:rPr>
          <w:rFonts w:cstheme="minorHAnsi"/>
          <w:sz w:val="24"/>
          <w:szCs w:val="24"/>
        </w:rPr>
        <w:t>, Art. 34)</w:t>
      </w:r>
    </w:p>
    <w:p w14:paraId="148D3E09" w14:textId="77777777" w:rsidR="00DC5464" w:rsidRPr="00DC5464" w:rsidRDefault="00DC5464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Iscrizione/rinnovo nei registri tenuti ai sensi dell’art. 68, Codice della navigazione;</w:t>
      </w:r>
    </w:p>
    <w:p w14:paraId="2FDB938F" w14:textId="77777777" w:rsidR="00DC5464" w:rsidRDefault="00DC5464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Autorizzazione per l’espletamento di operazioni o servizi portuali ex art. 16 della legge 84/94;</w:t>
      </w:r>
    </w:p>
    <w:p w14:paraId="5CA86DDB" w14:textId="5894D884" w:rsidR="00DC5464" w:rsidRPr="00DC5464" w:rsidRDefault="00DC5464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 xml:space="preserve">Autorizzazione al deposito delle merci in porto (Codice della </w:t>
      </w:r>
      <w:r w:rsidR="00140A8C">
        <w:rPr>
          <w:rFonts w:cstheme="minorHAnsi"/>
          <w:sz w:val="24"/>
          <w:szCs w:val="24"/>
        </w:rPr>
        <w:t>n</w:t>
      </w:r>
      <w:r w:rsidRPr="00DC5464">
        <w:rPr>
          <w:rFonts w:cstheme="minorHAnsi"/>
          <w:sz w:val="24"/>
          <w:szCs w:val="24"/>
        </w:rPr>
        <w:t>avigazione</w:t>
      </w:r>
      <w:r w:rsidR="00140A8C">
        <w:rPr>
          <w:rFonts w:cstheme="minorHAnsi"/>
          <w:sz w:val="24"/>
          <w:szCs w:val="24"/>
        </w:rPr>
        <w:t>,</w:t>
      </w:r>
      <w:r w:rsidRPr="00DC5464">
        <w:rPr>
          <w:rFonts w:cstheme="minorHAnsi"/>
          <w:sz w:val="24"/>
          <w:szCs w:val="24"/>
        </w:rPr>
        <w:t xml:space="preserve"> </w:t>
      </w:r>
      <w:r w:rsidR="00140A8C">
        <w:rPr>
          <w:rFonts w:cstheme="minorHAnsi"/>
          <w:sz w:val="24"/>
          <w:szCs w:val="24"/>
        </w:rPr>
        <w:t>A</w:t>
      </w:r>
      <w:r w:rsidRPr="00DC5464">
        <w:rPr>
          <w:rFonts w:cstheme="minorHAnsi"/>
          <w:sz w:val="24"/>
          <w:szCs w:val="24"/>
        </w:rPr>
        <w:t>rt.50);</w:t>
      </w:r>
    </w:p>
    <w:p w14:paraId="4C683846" w14:textId="052AD1E9" w:rsidR="004E7516" w:rsidRPr="00DC5464" w:rsidRDefault="004E7516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Autorizzazione per il trasporto eccezionale</w:t>
      </w:r>
      <w:r w:rsidR="005C377E" w:rsidRPr="00DC5464">
        <w:rPr>
          <w:rFonts w:cstheme="minorHAnsi"/>
          <w:sz w:val="24"/>
          <w:szCs w:val="24"/>
        </w:rPr>
        <w:t xml:space="preserve"> (</w:t>
      </w:r>
      <w:r w:rsidR="00702482">
        <w:rPr>
          <w:rFonts w:cstheme="minorHAnsi"/>
          <w:sz w:val="24"/>
          <w:szCs w:val="24"/>
        </w:rPr>
        <w:t xml:space="preserve">Ordinanza </w:t>
      </w:r>
      <w:r w:rsidR="00702482" w:rsidRPr="00702482">
        <w:rPr>
          <w:rFonts w:cstheme="minorHAnsi"/>
          <w:sz w:val="24"/>
          <w:szCs w:val="24"/>
        </w:rPr>
        <w:t>n. 07/2021 del 21.03.2021</w:t>
      </w:r>
      <w:r w:rsidR="00702482">
        <w:rPr>
          <w:rFonts w:cstheme="minorHAnsi"/>
          <w:sz w:val="24"/>
          <w:szCs w:val="24"/>
        </w:rPr>
        <w:t xml:space="preserve"> </w:t>
      </w:r>
      <w:r w:rsidR="00702482" w:rsidRPr="00DC5464">
        <w:rPr>
          <w:rFonts w:cstheme="minorHAnsi"/>
          <w:sz w:val="24"/>
          <w:szCs w:val="24"/>
        </w:rPr>
        <w:t>A.d.S.P.M.I</w:t>
      </w:r>
      <w:r w:rsidR="00702482" w:rsidRPr="00702482">
        <w:rPr>
          <w:rFonts w:cstheme="minorHAnsi"/>
          <w:sz w:val="24"/>
          <w:szCs w:val="24"/>
        </w:rPr>
        <w:t xml:space="preserve"> </w:t>
      </w:r>
      <w:r w:rsidR="00702482" w:rsidRPr="00DC5464">
        <w:rPr>
          <w:rFonts w:cstheme="minorHAnsi"/>
          <w:sz w:val="24"/>
          <w:szCs w:val="24"/>
        </w:rPr>
        <w:t>di emanazione del</w:t>
      </w:r>
      <w:r w:rsidR="00702482">
        <w:rPr>
          <w:rFonts w:cstheme="minorHAnsi"/>
          <w:sz w:val="24"/>
          <w:szCs w:val="24"/>
        </w:rPr>
        <w:t xml:space="preserve"> “</w:t>
      </w:r>
      <w:r w:rsidR="00702482" w:rsidRPr="00702482">
        <w:rPr>
          <w:rFonts w:cstheme="minorHAnsi"/>
          <w:sz w:val="24"/>
          <w:szCs w:val="24"/>
        </w:rPr>
        <w:t>Regolamento per la disciplina del trasporto eccezionale da effettuarsi nelle aree portuali ricadenti nella giurisdizione dell'Autorità di Sistema Portuale del Mar Ionio”</w:t>
      </w:r>
      <w:r w:rsidR="005C377E" w:rsidRPr="00DC5464">
        <w:rPr>
          <w:rFonts w:cstheme="minorHAnsi"/>
          <w:sz w:val="24"/>
          <w:szCs w:val="24"/>
        </w:rPr>
        <w:t>)</w:t>
      </w:r>
      <w:r w:rsidRPr="00DC5464">
        <w:rPr>
          <w:rFonts w:cstheme="minorHAnsi"/>
          <w:sz w:val="24"/>
          <w:szCs w:val="24"/>
        </w:rPr>
        <w:t>;</w:t>
      </w:r>
    </w:p>
    <w:p w14:paraId="1698F393" w14:textId="4BDFBDCE" w:rsidR="005E6496" w:rsidRPr="00DC5464" w:rsidRDefault="00F16021" w:rsidP="00DC546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DC5464">
        <w:rPr>
          <w:rFonts w:cstheme="minorHAnsi"/>
          <w:sz w:val="24"/>
          <w:szCs w:val="24"/>
        </w:rPr>
        <w:t>D</w:t>
      </w:r>
      <w:r w:rsidR="00702482">
        <w:rPr>
          <w:rFonts w:cstheme="minorHAnsi"/>
          <w:sz w:val="24"/>
          <w:szCs w:val="24"/>
        </w:rPr>
        <w:t>ichiarazione inizio attività</w:t>
      </w:r>
      <w:r w:rsidRPr="00DC5464">
        <w:rPr>
          <w:rFonts w:cstheme="minorHAnsi"/>
          <w:sz w:val="24"/>
          <w:szCs w:val="24"/>
        </w:rPr>
        <w:t xml:space="preserve"> per </w:t>
      </w:r>
      <w:r w:rsidR="00C80B0F" w:rsidRPr="00DC5464">
        <w:rPr>
          <w:rFonts w:cstheme="minorHAnsi"/>
          <w:sz w:val="24"/>
          <w:szCs w:val="24"/>
        </w:rPr>
        <w:t>l</w:t>
      </w:r>
      <w:r w:rsidRPr="00DC5464">
        <w:rPr>
          <w:rFonts w:cstheme="minorHAnsi"/>
          <w:sz w:val="24"/>
          <w:szCs w:val="24"/>
        </w:rPr>
        <w:t xml:space="preserve">avori con fiamma eseguiti nell’ambito del </w:t>
      </w:r>
      <w:r w:rsidR="005E6496" w:rsidRPr="00DC5464">
        <w:rPr>
          <w:rFonts w:cstheme="minorHAnsi"/>
          <w:sz w:val="24"/>
          <w:szCs w:val="24"/>
        </w:rPr>
        <w:t>porto</w:t>
      </w:r>
      <w:r w:rsidR="005C377E" w:rsidRPr="00DC5464">
        <w:rPr>
          <w:rFonts w:cstheme="minorHAnsi"/>
          <w:sz w:val="24"/>
          <w:szCs w:val="24"/>
        </w:rPr>
        <w:t xml:space="preserve"> (</w:t>
      </w:r>
      <w:r w:rsidR="00B47B83" w:rsidRPr="00DC5464">
        <w:rPr>
          <w:rFonts w:cstheme="minorHAnsi"/>
          <w:sz w:val="24"/>
          <w:szCs w:val="24"/>
        </w:rPr>
        <w:t xml:space="preserve">Ordinanza </w:t>
      </w:r>
      <w:r w:rsidR="00702482" w:rsidRPr="00702482">
        <w:rPr>
          <w:rFonts w:cstheme="minorHAnsi"/>
          <w:sz w:val="24"/>
          <w:szCs w:val="24"/>
        </w:rPr>
        <w:t xml:space="preserve">n. 08/2021 del 21.03.2021 </w:t>
      </w:r>
      <w:r w:rsidR="00B47B83" w:rsidRPr="00DC5464">
        <w:rPr>
          <w:rFonts w:cstheme="minorHAnsi"/>
          <w:sz w:val="24"/>
          <w:szCs w:val="24"/>
        </w:rPr>
        <w:t>A.d.S.P.M.I di emanazione del “</w:t>
      </w:r>
      <w:r w:rsidR="00702482" w:rsidRPr="00702482">
        <w:rPr>
          <w:rFonts w:cstheme="minorHAnsi"/>
          <w:sz w:val="24"/>
          <w:szCs w:val="24"/>
        </w:rPr>
        <w:t>Regolamento per la disciplina dell’uso della fiamma o di altre fonti di calore per le lavorazioni da effettuarsi a terra o in altre zone assimilabili nelle aree portuali ricadenti nella giurisdizione dell'Autorità di Sistema Portuale del Mar Ionio</w:t>
      </w:r>
      <w:r w:rsidR="00B47B83" w:rsidRPr="00DC5464">
        <w:rPr>
          <w:rFonts w:cstheme="minorHAnsi"/>
          <w:sz w:val="24"/>
          <w:szCs w:val="24"/>
        </w:rPr>
        <w:t>”</w:t>
      </w:r>
      <w:r w:rsidR="00702482">
        <w:rPr>
          <w:rFonts w:cstheme="minorHAnsi"/>
          <w:sz w:val="24"/>
          <w:szCs w:val="24"/>
        </w:rPr>
        <w:t>)</w:t>
      </w:r>
      <w:r w:rsidR="00C80B0F" w:rsidRPr="00DC5464">
        <w:rPr>
          <w:rFonts w:cstheme="minorHAnsi"/>
          <w:sz w:val="24"/>
          <w:szCs w:val="24"/>
        </w:rPr>
        <w:t>;</w:t>
      </w:r>
    </w:p>
    <w:p w14:paraId="5CBF2CE0" w14:textId="2A424863" w:rsidR="00702482" w:rsidRPr="00DC5464" w:rsidRDefault="00DC5464" w:rsidP="0070248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Deroga </w:t>
      </w:r>
      <w:r w:rsidR="00702482" w:rsidRPr="00DC5464">
        <w:rPr>
          <w:rFonts w:cstheme="minorHAnsi"/>
          <w:sz w:val="24"/>
          <w:szCs w:val="24"/>
        </w:rPr>
        <w:t>D</w:t>
      </w:r>
      <w:r w:rsidR="00702482">
        <w:rPr>
          <w:rFonts w:cstheme="minorHAnsi"/>
          <w:sz w:val="24"/>
          <w:szCs w:val="24"/>
        </w:rPr>
        <w:t>ichiarazione inizio attività</w:t>
      </w:r>
      <w:r w:rsidR="00702482" w:rsidRPr="00DC5464">
        <w:rPr>
          <w:rFonts w:cstheme="minorHAnsi"/>
          <w:sz w:val="24"/>
          <w:szCs w:val="24"/>
        </w:rPr>
        <w:t xml:space="preserve"> per lavori con fiamma eseguiti nell’ambito del porto (Ordinanza </w:t>
      </w:r>
      <w:r w:rsidR="00702482" w:rsidRPr="00702482">
        <w:rPr>
          <w:rFonts w:cstheme="minorHAnsi"/>
          <w:sz w:val="24"/>
          <w:szCs w:val="24"/>
        </w:rPr>
        <w:t xml:space="preserve">n. 08/2021 del 21.03.2021 </w:t>
      </w:r>
      <w:r w:rsidR="00702482" w:rsidRPr="00DC5464">
        <w:rPr>
          <w:rFonts w:cstheme="minorHAnsi"/>
          <w:sz w:val="24"/>
          <w:szCs w:val="24"/>
        </w:rPr>
        <w:t>A.d.S.P.M.I di emanazione del “</w:t>
      </w:r>
      <w:r w:rsidR="00702482" w:rsidRPr="00702482">
        <w:rPr>
          <w:rFonts w:cstheme="minorHAnsi"/>
          <w:sz w:val="24"/>
          <w:szCs w:val="24"/>
        </w:rPr>
        <w:t>Regolamento per la disciplina dell’uso della fiamma o di altre fonti di calore per le lavorazioni da effettuarsi a terra o in altre zone assimilabili nelle aree portuali ricadenti nella giurisdizione dell'Autorità di Sistema Portuale del Mar Ionio</w:t>
      </w:r>
      <w:r w:rsidR="00702482" w:rsidRPr="00DC5464">
        <w:rPr>
          <w:rFonts w:cstheme="minorHAnsi"/>
          <w:sz w:val="24"/>
          <w:szCs w:val="24"/>
        </w:rPr>
        <w:t>”</w:t>
      </w:r>
      <w:r w:rsidR="00702482">
        <w:rPr>
          <w:rFonts w:cstheme="minorHAnsi"/>
          <w:sz w:val="24"/>
          <w:szCs w:val="24"/>
        </w:rPr>
        <w:t>)</w:t>
      </w:r>
      <w:r w:rsidR="00702482" w:rsidRPr="00DC5464">
        <w:rPr>
          <w:rFonts w:cstheme="minorHAnsi"/>
          <w:sz w:val="24"/>
          <w:szCs w:val="24"/>
        </w:rPr>
        <w:t>;</w:t>
      </w:r>
    </w:p>
    <w:p w14:paraId="3F1CDEE8" w14:textId="77777777" w:rsidR="00702482" w:rsidRPr="00DC5464" w:rsidRDefault="00DC5464" w:rsidP="0070248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702482">
        <w:rPr>
          <w:rFonts w:cstheme="minorHAnsi"/>
          <w:sz w:val="24"/>
          <w:szCs w:val="24"/>
        </w:rPr>
        <w:t>Proroga al transito di un veicolo o trasporto eccezionale</w:t>
      </w:r>
      <w:r w:rsidR="00702482" w:rsidRPr="00702482">
        <w:rPr>
          <w:rFonts w:cstheme="minorHAnsi"/>
          <w:sz w:val="24"/>
          <w:szCs w:val="24"/>
        </w:rPr>
        <w:t xml:space="preserve"> </w:t>
      </w:r>
      <w:r w:rsidR="00702482" w:rsidRPr="00DC5464">
        <w:rPr>
          <w:rFonts w:cstheme="minorHAnsi"/>
          <w:sz w:val="24"/>
          <w:szCs w:val="24"/>
        </w:rPr>
        <w:t>(</w:t>
      </w:r>
      <w:r w:rsidR="00702482">
        <w:rPr>
          <w:rFonts w:cstheme="minorHAnsi"/>
          <w:sz w:val="24"/>
          <w:szCs w:val="24"/>
        </w:rPr>
        <w:t xml:space="preserve">Ordinanza </w:t>
      </w:r>
      <w:r w:rsidR="00702482" w:rsidRPr="00702482">
        <w:rPr>
          <w:rFonts w:cstheme="minorHAnsi"/>
          <w:sz w:val="24"/>
          <w:szCs w:val="24"/>
        </w:rPr>
        <w:t>n. 07/2021 del 21.03.2021</w:t>
      </w:r>
      <w:r w:rsidR="00702482">
        <w:rPr>
          <w:rFonts w:cstheme="minorHAnsi"/>
          <w:sz w:val="24"/>
          <w:szCs w:val="24"/>
        </w:rPr>
        <w:t xml:space="preserve"> </w:t>
      </w:r>
      <w:r w:rsidR="00702482" w:rsidRPr="00DC5464">
        <w:rPr>
          <w:rFonts w:cstheme="minorHAnsi"/>
          <w:sz w:val="24"/>
          <w:szCs w:val="24"/>
        </w:rPr>
        <w:t>A.d.S.P.M.I</w:t>
      </w:r>
      <w:r w:rsidR="00702482" w:rsidRPr="00702482">
        <w:rPr>
          <w:rFonts w:cstheme="minorHAnsi"/>
          <w:sz w:val="24"/>
          <w:szCs w:val="24"/>
        </w:rPr>
        <w:t xml:space="preserve"> </w:t>
      </w:r>
      <w:r w:rsidR="00702482" w:rsidRPr="00DC5464">
        <w:rPr>
          <w:rFonts w:cstheme="minorHAnsi"/>
          <w:sz w:val="24"/>
          <w:szCs w:val="24"/>
        </w:rPr>
        <w:t>di emanazione del</w:t>
      </w:r>
      <w:r w:rsidR="00702482">
        <w:rPr>
          <w:rFonts w:cstheme="minorHAnsi"/>
          <w:sz w:val="24"/>
          <w:szCs w:val="24"/>
        </w:rPr>
        <w:t xml:space="preserve"> “</w:t>
      </w:r>
      <w:r w:rsidR="00702482" w:rsidRPr="00702482">
        <w:rPr>
          <w:rFonts w:cstheme="minorHAnsi"/>
          <w:sz w:val="24"/>
          <w:szCs w:val="24"/>
        </w:rPr>
        <w:t>Regolamento per la disciplina del trasporto eccezionale da effettuarsi nelle aree portuali ricadenti nella giurisdizione dell'Autorità di Sistema Portuale del Mar Ionio”</w:t>
      </w:r>
      <w:r w:rsidR="00702482" w:rsidRPr="00DC5464">
        <w:rPr>
          <w:rFonts w:cstheme="minorHAnsi"/>
          <w:sz w:val="24"/>
          <w:szCs w:val="24"/>
        </w:rPr>
        <w:t>);</w:t>
      </w:r>
    </w:p>
    <w:p w14:paraId="1C316784" w14:textId="77777777" w:rsidR="00702482" w:rsidRPr="00DC5464" w:rsidRDefault="00702482" w:rsidP="0070248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702482">
        <w:rPr>
          <w:rFonts w:cstheme="minorHAnsi"/>
          <w:sz w:val="24"/>
          <w:szCs w:val="24"/>
        </w:rPr>
        <w:t xml:space="preserve">Richiesta di aggiunta targhe di riserva </w:t>
      </w:r>
      <w:r w:rsidRPr="00DC5464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Ordinanza </w:t>
      </w:r>
      <w:r w:rsidRPr="00702482">
        <w:rPr>
          <w:rFonts w:cstheme="minorHAnsi"/>
          <w:sz w:val="24"/>
          <w:szCs w:val="24"/>
        </w:rPr>
        <w:t>n. 07/2021 del 21.03.2021</w:t>
      </w:r>
      <w:r>
        <w:rPr>
          <w:rFonts w:cstheme="minorHAnsi"/>
          <w:sz w:val="24"/>
          <w:szCs w:val="24"/>
        </w:rPr>
        <w:t xml:space="preserve"> </w:t>
      </w:r>
      <w:r w:rsidRPr="00DC5464">
        <w:rPr>
          <w:rFonts w:cstheme="minorHAnsi"/>
          <w:sz w:val="24"/>
          <w:szCs w:val="24"/>
        </w:rPr>
        <w:t>A.d.S.P.M.I</w:t>
      </w:r>
      <w:r w:rsidRPr="00702482">
        <w:rPr>
          <w:rFonts w:cstheme="minorHAnsi"/>
          <w:sz w:val="24"/>
          <w:szCs w:val="24"/>
        </w:rPr>
        <w:t xml:space="preserve"> </w:t>
      </w:r>
      <w:r w:rsidRPr="00DC5464">
        <w:rPr>
          <w:rFonts w:cstheme="minorHAnsi"/>
          <w:sz w:val="24"/>
          <w:szCs w:val="24"/>
        </w:rPr>
        <w:t>di emanazione del</w:t>
      </w:r>
      <w:r>
        <w:rPr>
          <w:rFonts w:cstheme="minorHAnsi"/>
          <w:sz w:val="24"/>
          <w:szCs w:val="24"/>
        </w:rPr>
        <w:t xml:space="preserve"> “</w:t>
      </w:r>
      <w:r w:rsidRPr="00702482">
        <w:rPr>
          <w:rFonts w:cstheme="minorHAnsi"/>
          <w:sz w:val="24"/>
          <w:szCs w:val="24"/>
        </w:rPr>
        <w:t>Regolamento per la disciplina del trasporto eccezionale da effettuarsi nelle aree portuali ricadenti nella giurisdizione dell'Autorità di Sistema Portuale del Mar Ionio”</w:t>
      </w:r>
      <w:r w:rsidRPr="00DC5464">
        <w:rPr>
          <w:rFonts w:cstheme="minorHAnsi"/>
          <w:sz w:val="24"/>
          <w:szCs w:val="24"/>
        </w:rPr>
        <w:t>);</w:t>
      </w:r>
    </w:p>
    <w:p w14:paraId="2086DC42" w14:textId="4E50E735" w:rsidR="00BF0956" w:rsidRPr="00702482" w:rsidRDefault="00702482" w:rsidP="00D17E4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702482">
        <w:rPr>
          <w:rFonts w:cstheme="minorHAnsi"/>
          <w:sz w:val="24"/>
          <w:szCs w:val="24"/>
        </w:rPr>
        <w:lastRenderedPageBreak/>
        <w:t>Richiesta di autorizzazione per la sosta e lo stoccaggio nelle aree dell’ambito portuale delle merci pericolose in attesa di imbarco o di deflusso (Ordinanza n. 07/2010 in data 31/08/2010 di approvazione del Regolamento per la disciplina della sosta e dello stoccaggio, nelle aree dell’ambito portuale di Taranto, delle merci pericolose in attesa di imbarco o di deflusso)</w:t>
      </w:r>
      <w:r>
        <w:rPr>
          <w:rFonts w:cstheme="minorHAnsi"/>
          <w:sz w:val="24"/>
          <w:szCs w:val="24"/>
        </w:rPr>
        <w:t>.</w:t>
      </w:r>
    </w:p>
    <w:p w14:paraId="11DCF2B3" w14:textId="77777777" w:rsidR="00702482" w:rsidRPr="00702482" w:rsidRDefault="00702482" w:rsidP="00702482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b/>
          <w:bCs/>
          <w:sz w:val="24"/>
          <w:szCs w:val="24"/>
        </w:rPr>
      </w:pPr>
    </w:p>
    <w:p w14:paraId="63D48F5D" w14:textId="4116BE14" w:rsidR="005C377E" w:rsidRPr="00BF0956" w:rsidRDefault="00BF0956" w:rsidP="004E75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F0956">
        <w:rPr>
          <w:rFonts w:cstheme="minorHAnsi"/>
          <w:b/>
          <w:bCs/>
          <w:sz w:val="24"/>
          <w:szCs w:val="24"/>
        </w:rPr>
        <w:t>Base giuridica</w:t>
      </w:r>
    </w:p>
    <w:p w14:paraId="45E1D567" w14:textId="4BB12259" w:rsidR="00321181" w:rsidRDefault="00E458D8" w:rsidP="00DD090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Il trattamento dei dati personali </w:t>
      </w:r>
      <w:r w:rsidR="00A720C3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forniti all’Amministrazione per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la gestione telematica delle procedure amministrative del SUA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è necessario per l'esecuzione di un compito di interesse pubblico </w:t>
      </w:r>
      <w:r w:rsidR="00A720C3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connesso all'esercizio di pubblici poteri di cui è investito il titolare del trattamento</w:t>
      </w:r>
      <w:r w:rsidRPr="0008066E">
        <w:rPr>
          <w:rFonts w:ascii="Calibri" w:eastAsia="Times" w:hAnsi="Calibri" w:cs="Calibri"/>
          <w:color w:val="000000" w:themeColor="text1"/>
          <w:sz w:val="24"/>
          <w:szCs w:val="24"/>
        </w:rPr>
        <w:t xml:space="preserve"> (art. 6 comma 1 lettera e </w:t>
      </w:r>
      <w:r w:rsidR="002D03ED" w:rsidRPr="0008066E">
        <w:rPr>
          <w:rFonts w:ascii="Calibri" w:eastAsia="Times" w:hAnsi="Calibri" w:cs="Calibri"/>
          <w:color w:val="000000" w:themeColor="text1"/>
          <w:sz w:val="24"/>
          <w:szCs w:val="24"/>
        </w:rPr>
        <w:t>–</w:t>
      </w:r>
      <w:r w:rsidRPr="0008066E">
        <w:rPr>
          <w:rFonts w:ascii="Calibri" w:eastAsia="Times" w:hAnsi="Calibri" w:cs="Calibri"/>
          <w:color w:val="000000" w:themeColor="text1"/>
          <w:sz w:val="24"/>
          <w:szCs w:val="24"/>
        </w:rPr>
        <w:t xml:space="preserve"> GDPR</w:t>
      </w:r>
      <w:r w:rsidR="00591FCC" w:rsidRPr="0008066E">
        <w:rPr>
          <w:rFonts w:ascii="Calibri" w:eastAsia="Times" w:hAnsi="Calibri" w:cs="Calibri"/>
          <w:color w:val="000000" w:themeColor="text1"/>
          <w:sz w:val="24"/>
          <w:szCs w:val="24"/>
        </w:rPr>
        <w:t>)</w:t>
      </w:r>
      <w:r w:rsidR="00657FFC">
        <w:rPr>
          <w:rFonts w:ascii="Calibri" w:eastAsia="Times" w:hAnsi="Calibri" w:cs="Calibri"/>
          <w:color w:val="000000" w:themeColor="text1"/>
          <w:sz w:val="24"/>
          <w:szCs w:val="24"/>
        </w:rPr>
        <w:t xml:space="preserve"> espressamente definito </w:t>
      </w:r>
      <w:r w:rsidR="009D7B00">
        <w:rPr>
          <w:rFonts w:ascii="Calibri" w:eastAsia="Times" w:hAnsi="Calibri" w:cs="Calibri"/>
          <w:color w:val="000000" w:themeColor="text1"/>
          <w:sz w:val="24"/>
          <w:szCs w:val="24"/>
        </w:rPr>
        <w:t>dall’art. 15 bis della L</w:t>
      </w:r>
      <w:r w:rsidR="009D7B00" w:rsidRPr="00657FFC">
        <w:rPr>
          <w:color w:val="000000" w:themeColor="text1"/>
          <w:sz w:val="24"/>
          <w:szCs w:val="24"/>
        </w:rPr>
        <w:t>egge 28 gennaio 1994, n. 84</w:t>
      </w:r>
      <w:r w:rsidR="009D7B00">
        <w:rPr>
          <w:color w:val="000000" w:themeColor="text1"/>
          <w:sz w:val="24"/>
          <w:szCs w:val="24"/>
        </w:rPr>
        <w:t>, introdotto</w:t>
      </w:r>
      <w:r w:rsidR="009D7B00">
        <w:rPr>
          <w:rFonts w:ascii="Calibri" w:eastAsia="Times" w:hAnsi="Calibri" w:cs="Calibri"/>
          <w:color w:val="000000" w:themeColor="text1"/>
          <w:sz w:val="24"/>
          <w:szCs w:val="24"/>
        </w:rPr>
        <w:t xml:space="preserve"> </w:t>
      </w:r>
      <w:r w:rsidR="00657FFC">
        <w:rPr>
          <w:rFonts w:ascii="Calibri" w:eastAsia="Times" w:hAnsi="Calibri" w:cs="Calibri"/>
          <w:color w:val="000000" w:themeColor="text1"/>
          <w:sz w:val="24"/>
          <w:szCs w:val="24"/>
        </w:rPr>
        <w:t xml:space="preserve">dal </w:t>
      </w:r>
      <w:r w:rsidR="00657FFC" w:rsidRPr="00657FFC">
        <w:rPr>
          <w:color w:val="000000" w:themeColor="text1"/>
          <w:sz w:val="24"/>
          <w:szCs w:val="24"/>
        </w:rPr>
        <w:t xml:space="preserve">D.Lgs. 4 agosto 2016 n.169 recante </w:t>
      </w:r>
      <w:r w:rsidR="00657FFC">
        <w:rPr>
          <w:color w:val="000000" w:themeColor="text1"/>
          <w:sz w:val="24"/>
          <w:szCs w:val="24"/>
        </w:rPr>
        <w:t xml:space="preserve">norme per la </w:t>
      </w:r>
      <w:r w:rsidR="00173973">
        <w:rPr>
          <w:color w:val="000000" w:themeColor="text1"/>
          <w:sz w:val="24"/>
          <w:szCs w:val="24"/>
        </w:rPr>
        <w:t>r</w:t>
      </w:r>
      <w:r w:rsidR="00657FFC" w:rsidRPr="00657FFC">
        <w:rPr>
          <w:color w:val="000000" w:themeColor="text1"/>
          <w:sz w:val="24"/>
          <w:szCs w:val="24"/>
        </w:rPr>
        <w:t xml:space="preserve">iorganizzazione, razionalizzazione e semplificazione della disciplina concernente le Autorità portuali </w:t>
      </w:r>
      <w:r w:rsidR="00173973">
        <w:rPr>
          <w:color w:val="000000" w:themeColor="text1"/>
          <w:sz w:val="24"/>
          <w:szCs w:val="24"/>
        </w:rPr>
        <w:t xml:space="preserve">al cui </w:t>
      </w:r>
      <w:r w:rsidR="00657FFC" w:rsidRPr="00657FFC">
        <w:rPr>
          <w:color w:val="000000" w:themeColor="text1"/>
          <w:sz w:val="24"/>
          <w:szCs w:val="24"/>
        </w:rPr>
        <w:t>art. 18 ha previsto l’istituzione dello Sportello Unico Amministrativo (“SUA”) presso le Autorità Portuali.</w:t>
      </w:r>
    </w:p>
    <w:p w14:paraId="7B964ACB" w14:textId="77777777" w:rsidR="00BF0956" w:rsidRDefault="00BF0956" w:rsidP="00DD0904">
      <w:pPr>
        <w:spacing w:after="0" w:line="360" w:lineRule="auto"/>
        <w:jc w:val="both"/>
        <w:rPr>
          <w:b/>
        </w:rPr>
      </w:pPr>
    </w:p>
    <w:p w14:paraId="686487DD" w14:textId="39834261" w:rsidR="00BF0956" w:rsidRPr="00BF0956" w:rsidRDefault="00BF0956" w:rsidP="00DD090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F0956">
        <w:rPr>
          <w:b/>
          <w:sz w:val="24"/>
          <w:szCs w:val="24"/>
        </w:rPr>
        <w:t>Modalità del trattamento.</w:t>
      </w:r>
    </w:p>
    <w:p w14:paraId="74B658D4" w14:textId="149AB5A4" w:rsidR="00854427" w:rsidRPr="0008066E" w:rsidRDefault="002D03ED" w:rsidP="00DD090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>L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>e categorie di dati personali conferiti, quali ad esempio l’anagrafica, il codice fiscale e la partita i.v.a., i recapiti telefonici, di posta elettronica e posta elettronica certificata, le qualità personali e le posizioni economiche e giuridiche,</w:t>
      </w:r>
      <w:r w:rsidR="009E3D2E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i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numeri di targa e </w:t>
      </w:r>
      <w:r w:rsidR="009E3D2E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le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tipologie di veicolo, </w:t>
      </w:r>
      <w:r w:rsidR="009E3D2E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le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copie </w:t>
      </w:r>
      <w:r w:rsidR="009E3D2E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dei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documenti di riconoscimento ecc., 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appartenenti anche </w:t>
      </w:r>
      <w:r w:rsidR="00591FCC" w:rsidRPr="0008066E">
        <w:rPr>
          <w:rFonts w:ascii="Calibri" w:hAnsi="Calibri" w:cs="Calibri"/>
          <w:color w:val="000000" w:themeColor="text1"/>
          <w:sz w:val="24"/>
          <w:szCs w:val="24"/>
        </w:rPr>
        <w:t>alle categorie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 di cui all’art. 9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e 10 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del GDPR, il cui trattamento è autorizzato, sono gestiti in misura non eccedente e comunque pertinente 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>alle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 fin</w:t>
      </w: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alità 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>sopraindicate; il conferimento dei dati è obbligatorio e l’eventuale rifiuto o il loro parziale o inesatto conferimento,</w:t>
      </w:r>
      <w:r w:rsidR="00591FCC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attese le  finalità del trattamento sopra esplicitate, avrà come conseguenza, l'impossibilità di ottenere </w:t>
      </w:r>
      <w:r w:rsidR="00591FCC" w:rsidRPr="0008066E">
        <w:rPr>
          <w:rFonts w:ascii="Calibri" w:hAnsi="Calibri" w:cs="Calibri"/>
          <w:color w:val="000000" w:themeColor="text1"/>
          <w:sz w:val="24"/>
          <w:szCs w:val="24"/>
        </w:rPr>
        <w:t>il provvedimento amministrativo richiesto.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 In particolare sono previsti trattamenti di dati sensibili, quali ad esempio i dati relativi alle condanne penali o altre sanzioni così come dichiarati o </w:t>
      </w:r>
      <w:r w:rsidR="009E3D2E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accertati 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tramite gli organi competenti o </w:t>
      </w:r>
      <w:r w:rsidR="009E3D2E" w:rsidRPr="0008066E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 registri pubblici</w:t>
      </w:r>
      <w:r w:rsidR="00321181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591FCC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Il trattamento consiste nell’accesso, elaborazione, valutazione dei dati per accertare il possesso o il mantenimento dei requisiti per il </w:t>
      </w:r>
      <w:r w:rsidR="00E46DEE" w:rsidRPr="0008066E">
        <w:rPr>
          <w:rFonts w:ascii="Calibri" w:hAnsi="Calibri" w:cs="Calibri"/>
          <w:color w:val="000000" w:themeColor="text1"/>
          <w:sz w:val="24"/>
          <w:szCs w:val="24"/>
        </w:rPr>
        <w:t>rilascio, la modifica o la revoca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 di </w:t>
      </w:r>
      <w:r w:rsidR="00F53480" w:rsidRPr="0008066E">
        <w:rPr>
          <w:rFonts w:ascii="Calibri" w:hAnsi="Calibri" w:cs="Calibri"/>
          <w:color w:val="000000" w:themeColor="text1"/>
          <w:sz w:val="24"/>
          <w:szCs w:val="24"/>
        </w:rPr>
        <w:t>concessioni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53480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autorizzazioni ed iscrizioni ad albi,</w:t>
      </w:r>
      <w:r w:rsidRPr="002D03ED">
        <w:rPr>
          <w:rFonts w:ascii="Calibri" w:hAnsi="Calibri" w:cs="Calibri"/>
          <w:color w:val="000000" w:themeColor="text1"/>
          <w:sz w:val="24"/>
          <w:szCs w:val="24"/>
        </w:rPr>
        <w:t xml:space="preserve"> secondo le previsioni di legge</w:t>
      </w:r>
      <w:r w:rsidR="00BB0BE2" w:rsidRPr="0008066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4AEDB42" w14:textId="556A296B" w:rsidR="00854427" w:rsidRPr="0008066E" w:rsidRDefault="00BB0BE2" w:rsidP="00DD090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l trattamento è </w:t>
      </w:r>
      <w:r w:rsidR="009E327D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eseguito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con o senza l’ausilio di strumenti elettronici o automatizzati, secondo modalità organizzative e logiche strettamente correlate e limitate alle finalità indicate e comunque mediante procedure idonee a garantirne la riservatezza</w:t>
      </w:r>
      <w:r w:rsidR="002728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2D3FBB6" w14:textId="5035310D" w:rsidR="00BB0BE2" w:rsidRPr="0008066E" w:rsidRDefault="00854427" w:rsidP="00DD090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Il trattamento è </w:t>
      </w:r>
      <w:r w:rsidR="00BB0BE2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post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</w:t>
      </w:r>
      <w:r w:rsidR="00BB0BE2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in essere esclusivamente dal personale autorizzat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 facente parte dell’organizzazione interna</w:t>
      </w:r>
      <w:r w:rsidR="00BB0BE2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</w:t>
      </w:r>
      <w:r w:rsidR="00BB0BE2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l titolare 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="00BB0BE2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 trattamento</w:t>
      </w:r>
      <w:r w:rsidR="00E57E9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22DE6"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nonché </w:t>
      </w:r>
      <w:r w:rsidR="00E57E90">
        <w:rPr>
          <w:rFonts w:ascii="Calibri" w:hAnsi="Calibri" w:cs="Calibri"/>
          <w:color w:val="000000" w:themeColor="text1"/>
          <w:sz w:val="24"/>
          <w:szCs w:val="24"/>
        </w:rPr>
        <w:t>da responsabili esterni del trattamento ex art. 28 GDPR all’uopo nominati il cui elenco potrà essere reso accessibile dal titolare del trattamento su richiesta del soggetto interessato</w:t>
      </w:r>
      <w:r w:rsidR="00722DE6" w:rsidRPr="0008066E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BF5017"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Il trattamento riferito alla comunicazione mediante trasmissione potrà riguardare la comunicazione dei dati ad Enti Pubblici, Organi di Vigilanza e Controllo, Autorità Giudiziaria, Soggetti Interessati e contro interessati</w:t>
      </w:r>
      <w:r w:rsidR="002728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10A3ABC2" w14:textId="77777777" w:rsidR="00BF0956" w:rsidRDefault="00BF0956" w:rsidP="00BF0956">
      <w:pPr>
        <w:spacing w:after="0"/>
        <w:rPr>
          <w:b/>
        </w:rPr>
      </w:pPr>
    </w:p>
    <w:p w14:paraId="3B99FB42" w14:textId="7200E83F" w:rsidR="00BF0956" w:rsidRPr="00BF0956" w:rsidRDefault="00BF0956" w:rsidP="00BF0956">
      <w:pPr>
        <w:spacing w:after="0" w:line="360" w:lineRule="auto"/>
        <w:rPr>
          <w:b/>
          <w:sz w:val="24"/>
          <w:szCs w:val="24"/>
        </w:rPr>
      </w:pPr>
      <w:r w:rsidRPr="00BF0956">
        <w:rPr>
          <w:b/>
          <w:sz w:val="24"/>
          <w:szCs w:val="24"/>
        </w:rPr>
        <w:t>Periodo di conservazione dei dati.</w:t>
      </w:r>
    </w:p>
    <w:p w14:paraId="15711B8F" w14:textId="14826807" w:rsidR="00BD3E01" w:rsidRPr="0008066E" w:rsidRDefault="00BD3E01" w:rsidP="00BF0956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I dati personali saranno conservati per un </w:t>
      </w:r>
      <w:bookmarkStart w:id="0" w:name="_Hlk35524079"/>
      <w:r w:rsidRPr="0008066E">
        <w:rPr>
          <w:rFonts w:ascii="Calibri" w:hAnsi="Calibri" w:cs="Calibri"/>
          <w:color w:val="000000" w:themeColor="text1"/>
          <w:sz w:val="24"/>
          <w:szCs w:val="24"/>
        </w:rPr>
        <w:t>periodo non superiore a quello necessario per il perseguimento delle finalità sopra menzionate o comunque non superiore a quello imposto dalla legge per la conservazione dell'atto o del documento che li contiene.</w:t>
      </w:r>
      <w:bookmarkEnd w:id="0"/>
      <w:r w:rsidRPr="0008066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F3B0808" w14:textId="737A02C7" w:rsidR="00BD3E01" w:rsidRPr="0008066E" w:rsidRDefault="00BD3E01" w:rsidP="00BF0956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Per tutto il periodo indicato essi saranno conservati o archiviati, secondo le disposizioni di legge, da personale autorizzato con modalità che garantiscono l’integrità e la disponibilità nel tempo in caso d’uso; in particolare sono adottate le seguenti misure: accesso al software con sistema di autenticazione e autorizzazione, accesso controllato ai locali dove si svolgono i trattamenti, esecuzione di copie di sicurezza o di backup periodico, conservazione sicura</w:t>
      </w:r>
      <w:r w:rsidR="002728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5FC0C33B" w14:textId="77777777" w:rsidR="00BF0956" w:rsidRDefault="00BF0956" w:rsidP="00BF0956">
      <w:pPr>
        <w:spacing w:after="0"/>
        <w:rPr>
          <w:b/>
        </w:rPr>
      </w:pPr>
    </w:p>
    <w:p w14:paraId="19B17E0D" w14:textId="2C5695AB" w:rsidR="005D165C" w:rsidRPr="00BF0956" w:rsidRDefault="00BF0956" w:rsidP="00BF0956">
      <w:pPr>
        <w:spacing w:after="0" w:line="360" w:lineRule="auto"/>
        <w:rPr>
          <w:b/>
          <w:sz w:val="24"/>
          <w:szCs w:val="24"/>
        </w:rPr>
      </w:pPr>
      <w:r w:rsidRPr="00BF0956">
        <w:rPr>
          <w:b/>
          <w:sz w:val="24"/>
          <w:szCs w:val="24"/>
        </w:rPr>
        <w:t>Diritti dei soggetti interessati.</w:t>
      </w:r>
    </w:p>
    <w:p w14:paraId="456D624A" w14:textId="64F887C8" w:rsidR="00BD3E01" w:rsidRPr="0008066E" w:rsidRDefault="00BD3E01" w:rsidP="00BF09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>Ciascun interessato, con riferimento al trattamento dei propri dati personali, gode dei diritti di cui agli artt. da 15 a 22 del GDPR. In ragione di ciò potrà chiedere al Titolare del trattamento l'accesso ai propri dati personali e la rettifica o la cancellazione degli stessi o la limitazione del trattamento dei dati personali che lo riguardano o di opporsi al loro trattamento, oltre al diritto alla portabilità dei dati (ove la normativa specifica lo consenta).</w:t>
      </w:r>
    </w:p>
    <w:p w14:paraId="7CC2DB8F" w14:textId="24A2464E" w:rsidR="00BD3E01" w:rsidRPr="0008066E" w:rsidRDefault="00BD3E01" w:rsidP="00DD090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FFFF" w:themeColor="background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Tali diritti sono esercitabili direttamente inviando una comunicazione al seguente indirizzo di posta elettronica certificata:</w:t>
      </w:r>
      <w:r w:rsidR="001709D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protocollo.auto</w:t>
      </w:r>
      <w:r w:rsidR="00E476D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por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tta@post</w:t>
      </w:r>
      <w:r w:rsidR="00140A8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</w:t>
      </w:r>
      <w:r w:rsidRPr="0008066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cert.</w:t>
      </w:r>
    </w:p>
    <w:p w14:paraId="3189E273" w14:textId="115C8FE8" w:rsidR="0014694F" w:rsidRDefault="00BD3E01" w:rsidP="00DD090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66E">
        <w:rPr>
          <w:rFonts w:ascii="Calibri" w:hAnsi="Calibri" w:cs="Calibri"/>
          <w:color w:val="000000" w:themeColor="text1"/>
          <w:sz w:val="24"/>
          <w:szCs w:val="24"/>
        </w:rPr>
        <w:t>Qualora l’interessato ritenga che i propri dati siano trattati difformemente da quanto previsto nel GDPR, ha il diritto di proporre reclamo all’Autorità Garante per la Protezione dei Dati Personali.</w:t>
      </w:r>
    </w:p>
    <w:p w14:paraId="77DE701A" w14:textId="77777777" w:rsidR="00140A8C" w:rsidRDefault="00140A8C" w:rsidP="00BF0956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B947ADA" w14:textId="706F4607" w:rsidR="002E22E1" w:rsidRPr="00B22AB3" w:rsidRDefault="002E22E1" w:rsidP="00BF0956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Calibri" w:hAnsi="Calibri" w:cs="Calibri"/>
          <w:b/>
          <w:bCs/>
        </w:rPr>
      </w:pPr>
      <w:r w:rsidRPr="00B22AB3">
        <w:rPr>
          <w:rFonts w:ascii="Calibri" w:hAnsi="Calibri" w:cs="Calibri"/>
          <w:b/>
          <w:bCs/>
          <w:color w:val="000000" w:themeColor="text1"/>
          <w:sz w:val="24"/>
          <w:szCs w:val="24"/>
        </w:rPr>
        <w:t>Il Titolare del Trattamento</w:t>
      </w:r>
    </w:p>
    <w:sectPr w:rsidR="002E22E1" w:rsidRPr="00B22AB3" w:rsidSect="00BF0956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23D"/>
    <w:multiLevelType w:val="hybridMultilevel"/>
    <w:tmpl w:val="4B1AB25E"/>
    <w:lvl w:ilvl="0" w:tplc="CEE84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60D8"/>
    <w:multiLevelType w:val="hybridMultilevel"/>
    <w:tmpl w:val="7C7076DE"/>
    <w:lvl w:ilvl="0" w:tplc="0C544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CFA"/>
    <w:multiLevelType w:val="hybridMultilevel"/>
    <w:tmpl w:val="3D0AF9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7F76"/>
    <w:multiLevelType w:val="multilevel"/>
    <w:tmpl w:val="512C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E6E9F"/>
    <w:multiLevelType w:val="hybridMultilevel"/>
    <w:tmpl w:val="45CAD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31ABB"/>
    <w:multiLevelType w:val="hybridMultilevel"/>
    <w:tmpl w:val="3AE8276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865463">
    <w:abstractNumId w:val="3"/>
  </w:num>
  <w:num w:numId="2" w16cid:durableId="22020995">
    <w:abstractNumId w:val="0"/>
  </w:num>
  <w:num w:numId="3" w16cid:durableId="59059465">
    <w:abstractNumId w:val="1"/>
  </w:num>
  <w:num w:numId="4" w16cid:durableId="526017910">
    <w:abstractNumId w:val="4"/>
  </w:num>
  <w:num w:numId="5" w16cid:durableId="1948804223">
    <w:abstractNumId w:val="2"/>
  </w:num>
  <w:num w:numId="6" w16cid:durableId="1825050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5C"/>
    <w:rsid w:val="000203B0"/>
    <w:rsid w:val="0008066E"/>
    <w:rsid w:val="000954DD"/>
    <w:rsid w:val="000F4307"/>
    <w:rsid w:val="00127117"/>
    <w:rsid w:val="00127D1F"/>
    <w:rsid w:val="00140A8C"/>
    <w:rsid w:val="0014694F"/>
    <w:rsid w:val="001709D1"/>
    <w:rsid w:val="00173973"/>
    <w:rsid w:val="001E74D8"/>
    <w:rsid w:val="00254896"/>
    <w:rsid w:val="00264214"/>
    <w:rsid w:val="002728EB"/>
    <w:rsid w:val="002D03ED"/>
    <w:rsid w:val="002E22E1"/>
    <w:rsid w:val="00321181"/>
    <w:rsid w:val="003D1F28"/>
    <w:rsid w:val="003E71FC"/>
    <w:rsid w:val="004B41E0"/>
    <w:rsid w:val="004E7516"/>
    <w:rsid w:val="00591AFD"/>
    <w:rsid w:val="00591FCC"/>
    <w:rsid w:val="005A4537"/>
    <w:rsid w:val="005C10FF"/>
    <w:rsid w:val="005C377E"/>
    <w:rsid w:val="005D165C"/>
    <w:rsid w:val="005E6496"/>
    <w:rsid w:val="005F5A05"/>
    <w:rsid w:val="00657FFC"/>
    <w:rsid w:val="00696DD5"/>
    <w:rsid w:val="006D6B33"/>
    <w:rsid w:val="00702482"/>
    <w:rsid w:val="00722DE6"/>
    <w:rsid w:val="0073137F"/>
    <w:rsid w:val="00744770"/>
    <w:rsid w:val="00777BEB"/>
    <w:rsid w:val="007D1FFE"/>
    <w:rsid w:val="00843E24"/>
    <w:rsid w:val="00854427"/>
    <w:rsid w:val="0086557A"/>
    <w:rsid w:val="008A41B5"/>
    <w:rsid w:val="008C3458"/>
    <w:rsid w:val="00902B7D"/>
    <w:rsid w:val="00914799"/>
    <w:rsid w:val="009D7B00"/>
    <w:rsid w:val="009E327D"/>
    <w:rsid w:val="009E3D2E"/>
    <w:rsid w:val="009F38DF"/>
    <w:rsid w:val="00A37C87"/>
    <w:rsid w:val="00A4433E"/>
    <w:rsid w:val="00A720C3"/>
    <w:rsid w:val="00A8256F"/>
    <w:rsid w:val="00A95415"/>
    <w:rsid w:val="00B22AB3"/>
    <w:rsid w:val="00B36DEC"/>
    <w:rsid w:val="00B47B83"/>
    <w:rsid w:val="00B548DD"/>
    <w:rsid w:val="00BB0BE2"/>
    <w:rsid w:val="00BC7A80"/>
    <w:rsid w:val="00BD3E01"/>
    <w:rsid w:val="00BF0956"/>
    <w:rsid w:val="00BF5017"/>
    <w:rsid w:val="00C1299D"/>
    <w:rsid w:val="00C47AA7"/>
    <w:rsid w:val="00C80B0F"/>
    <w:rsid w:val="00CF77F2"/>
    <w:rsid w:val="00DA1FE3"/>
    <w:rsid w:val="00DB0214"/>
    <w:rsid w:val="00DC5464"/>
    <w:rsid w:val="00DD0904"/>
    <w:rsid w:val="00E458D8"/>
    <w:rsid w:val="00E46DEE"/>
    <w:rsid w:val="00E476DA"/>
    <w:rsid w:val="00E57E90"/>
    <w:rsid w:val="00E76A18"/>
    <w:rsid w:val="00E9600A"/>
    <w:rsid w:val="00EE28B7"/>
    <w:rsid w:val="00F16021"/>
    <w:rsid w:val="00F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A2FF"/>
  <w15:docId w15:val="{D9F0CFC1-6934-4D93-A9C1-72B9B0F0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71F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02B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03E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825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port.tarant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Gianesin Patrizia</dc:creator>
  <cp:lastModifiedBy>Stefania Sardella</cp:lastModifiedBy>
  <cp:revision>3</cp:revision>
  <cp:lastPrinted>2025-06-05T15:16:00Z</cp:lastPrinted>
  <dcterms:created xsi:type="dcterms:W3CDTF">2026-07-08T15:34:00Z</dcterms:created>
  <dcterms:modified xsi:type="dcterms:W3CDTF">2026-07-08T15:44:00Z</dcterms:modified>
</cp:coreProperties>
</file>